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73A91" w14:textId="77777777" w:rsidR="00A753E4" w:rsidRDefault="00A753E4" w:rsidP="00A753E4">
      <w:pPr>
        <w:pStyle w:val="ListParagraph"/>
        <w:spacing w:after="0" w:line="240" w:lineRule="auto"/>
        <w:ind w:left="0"/>
        <w:rPr>
          <w:b/>
        </w:rPr>
      </w:pPr>
      <w:r>
        <w:rPr>
          <w:b/>
        </w:rPr>
        <w:t>Meaningful Use Stage 2:</w:t>
      </w:r>
      <w:r w:rsidRPr="00B94B50">
        <w:rPr>
          <w:b/>
        </w:rPr>
        <w:t xml:space="preserve">  Reporting cancer cases when </w:t>
      </w:r>
      <w:r>
        <w:rPr>
          <w:b/>
        </w:rPr>
        <w:t>key</w:t>
      </w:r>
      <w:r w:rsidRPr="00B94B50">
        <w:rPr>
          <w:b/>
        </w:rPr>
        <w:t xml:space="preserve"> data elements </w:t>
      </w:r>
      <w:r>
        <w:rPr>
          <w:b/>
        </w:rPr>
        <w:t>are missing</w:t>
      </w:r>
    </w:p>
    <w:p w14:paraId="34EEA252" w14:textId="77777777" w:rsidR="00A753E4" w:rsidRDefault="00A753E4" w:rsidP="00A753E4">
      <w:pPr>
        <w:pStyle w:val="ListParagraph"/>
        <w:spacing w:after="0" w:line="240" w:lineRule="auto"/>
        <w:ind w:left="0"/>
      </w:pPr>
    </w:p>
    <w:p w14:paraId="41D5EEDE" w14:textId="42714C7B" w:rsidR="00A753E4" w:rsidRDefault="00A753E4" w:rsidP="00A753E4">
      <w:pPr>
        <w:pStyle w:val="ListParagraph"/>
        <w:spacing w:after="0" w:line="240" w:lineRule="auto"/>
        <w:ind w:left="0"/>
      </w:pPr>
      <w:r w:rsidRPr="00020082">
        <w:t xml:space="preserve">Every data element in </w:t>
      </w:r>
      <w:r>
        <w:t xml:space="preserve">the Meaningful Use Stage 2 cancer implementation guide </w:t>
      </w:r>
      <w:r w:rsidRPr="00020082">
        <w:t xml:space="preserve">has undergone scrutiny by the US central cancer registry community to ensure that </w:t>
      </w:r>
      <w:r>
        <w:t xml:space="preserve">it </w:t>
      </w:r>
      <w:r w:rsidRPr="00020082">
        <w:t xml:space="preserve">is needed by the cancer registry and can reasonably be expected to be included in an ambulatory provider’s EHR. </w:t>
      </w:r>
      <w:r>
        <w:t>Unfortunately, state cancer registries are receiving cancer event reports from ambulatory care providers that are missing key data.</w:t>
      </w:r>
      <w:r w:rsidR="00D901F5">
        <w:t xml:space="preserve"> Workflow, lack of tra</w:t>
      </w:r>
      <w:r w:rsidR="00574C64">
        <w:t>ining</w:t>
      </w:r>
      <w:r w:rsidR="00791987">
        <w:t>, and</w:t>
      </w:r>
      <w:r w:rsidR="00D901F5">
        <w:t xml:space="preserve"> </w:t>
      </w:r>
      <w:r w:rsidR="00574C64">
        <w:t xml:space="preserve">unclear </w:t>
      </w:r>
      <w:r w:rsidR="00D901F5">
        <w:t xml:space="preserve">reporting expectations may </w:t>
      </w:r>
      <w:r w:rsidR="00574C64">
        <w:t>be contributing factors.</w:t>
      </w:r>
      <w:r w:rsidR="00D901F5">
        <w:t xml:space="preserve"> </w:t>
      </w:r>
    </w:p>
    <w:p w14:paraId="473994A3" w14:textId="77777777" w:rsidR="00A753E4" w:rsidRPr="00020082" w:rsidRDefault="00A753E4" w:rsidP="00A753E4">
      <w:pPr>
        <w:spacing w:after="0" w:line="240" w:lineRule="auto"/>
      </w:pPr>
    </w:p>
    <w:p w14:paraId="070810D4" w14:textId="6490CA37" w:rsidR="00A753E4" w:rsidRDefault="00A753E4" w:rsidP="00A753E4">
      <w:pPr>
        <w:spacing w:after="200" w:line="276" w:lineRule="auto"/>
      </w:pPr>
      <w:r>
        <w:t xml:space="preserve">The cancer registry community recognizes that standardizing the physician reporting process is </w:t>
      </w:r>
      <w:r w:rsidRPr="00BE270A">
        <w:t>vital</w:t>
      </w:r>
      <w:r>
        <w:t>. It recognizes that vendors may be reluctant or unable to dev</w:t>
      </w:r>
      <w:bookmarkStart w:id="0" w:name="_GoBack"/>
      <w:bookmarkEnd w:id="0"/>
      <w:r>
        <w:t xml:space="preserve">elop customized processes. Differences in laws/regulations, caseload, resources, priorities, and data use make it very difficult to obtain a national consensus on whether a case should be withheld </w:t>
      </w:r>
      <w:r w:rsidR="00AF5694">
        <w:t xml:space="preserve">by the EHR </w:t>
      </w:r>
      <w:r>
        <w:t>if certain data elements are missing. Certain registry systems will not allow receipt of a cancer event report if data are missing; other registry systems will accept such a cancer event report.</w:t>
      </w:r>
    </w:p>
    <w:p w14:paraId="5B7A3FCC" w14:textId="141F3D24" w:rsidR="00A753E4" w:rsidRDefault="00791987" w:rsidP="00A753E4">
      <w:pPr>
        <w:spacing w:after="200" w:line="276" w:lineRule="auto"/>
      </w:pPr>
      <w:r>
        <w:t>The Centers for Disease Control and Prevention (</w:t>
      </w:r>
      <w:r w:rsidR="00A753E4">
        <w:t>CDC</w:t>
      </w:r>
      <w:r>
        <w:t>)</w:t>
      </w:r>
      <w:r w:rsidR="00A753E4">
        <w:t xml:space="preserve"> </w:t>
      </w:r>
      <w:r>
        <w:t xml:space="preserve">National Program of Cancer Registries (NPCR) </w:t>
      </w:r>
      <w:r w:rsidR="00A753E4">
        <w:t xml:space="preserve">has no </w:t>
      </w:r>
      <w:r w:rsidR="00A753E4" w:rsidRPr="00453F9A">
        <w:rPr>
          <w:b/>
        </w:rPr>
        <w:t>regulatory</w:t>
      </w:r>
      <w:r w:rsidR="00A753E4" w:rsidRPr="00453F9A">
        <w:t xml:space="preserve"> oversight over reporting cancer cases to state registries in the United States.  </w:t>
      </w:r>
      <w:r w:rsidR="00A753E4">
        <w:t>State cancer registries are responsible for implementing and monitoring reporting for their state, including MU activities. CDC serves in an advisory and coordinating capacity in the MU initiatives. In this capacity, the CDC has developed recommendations that should accommodate the</w:t>
      </w:r>
      <w:r w:rsidR="001902BD">
        <w:t>se</w:t>
      </w:r>
      <w:r w:rsidR="00A753E4">
        <w:t xml:space="preserve"> </w:t>
      </w:r>
      <w:r w:rsidR="00AF5694">
        <w:t xml:space="preserve">differing </w:t>
      </w:r>
      <w:r w:rsidR="00A753E4">
        <w:t>requirements</w:t>
      </w:r>
      <w:r w:rsidR="00507312">
        <w:t>.</w:t>
      </w:r>
      <w:r w:rsidR="00A753E4">
        <w:t xml:space="preserve"> </w:t>
      </w:r>
      <w:r w:rsidR="001902BD">
        <w:t>for missing data</w:t>
      </w:r>
      <w:r w:rsidR="00A753E4">
        <w:t xml:space="preserve">. </w:t>
      </w:r>
    </w:p>
    <w:p w14:paraId="0476827E" w14:textId="437AEE37" w:rsidR="00A753E4" w:rsidRPr="00496790" w:rsidRDefault="00A753E4" w:rsidP="00A753E4">
      <w:pPr>
        <w:spacing w:after="200" w:line="276" w:lineRule="auto"/>
      </w:pPr>
      <w:r w:rsidRPr="001903DF">
        <w:rPr>
          <w:b/>
          <w:i/>
        </w:rPr>
        <w:t>CDC</w:t>
      </w:r>
      <w:r w:rsidR="00791987">
        <w:rPr>
          <w:b/>
          <w:i/>
        </w:rPr>
        <w:t>-NPCR</w:t>
      </w:r>
      <w:r w:rsidRPr="001903DF">
        <w:rPr>
          <w:b/>
          <w:i/>
        </w:rPr>
        <w:t xml:space="preserve"> recommends that the EHR cancer reporting functionality: </w:t>
      </w:r>
    </w:p>
    <w:p w14:paraId="5178BE9D" w14:textId="77777777" w:rsidR="00A753E4" w:rsidRDefault="00A753E4" w:rsidP="00A753E4">
      <w:pPr>
        <w:pStyle w:val="ListParagraph"/>
        <w:numPr>
          <w:ilvl w:val="1"/>
          <w:numId w:val="2"/>
        </w:numPr>
        <w:spacing w:after="200" w:line="276" w:lineRule="auto"/>
        <w:ind w:left="720"/>
        <w:rPr>
          <w:i/>
          <w:color w:val="1F4E79" w:themeColor="accent1" w:themeShade="80"/>
        </w:rPr>
      </w:pPr>
      <w:r>
        <w:rPr>
          <w:i/>
          <w:color w:val="1F4E79" w:themeColor="accent1" w:themeShade="80"/>
        </w:rPr>
        <w:t>I</w:t>
      </w:r>
      <w:r w:rsidRPr="00C82D1C">
        <w:rPr>
          <w:i/>
          <w:color w:val="1F4E79" w:themeColor="accent1" w:themeShade="80"/>
        </w:rPr>
        <w:t>nform</w:t>
      </w:r>
      <w:r>
        <w:rPr>
          <w:i/>
          <w:color w:val="1F4E79" w:themeColor="accent1" w:themeShade="80"/>
        </w:rPr>
        <w:t>s</w:t>
      </w:r>
      <w:r w:rsidRPr="00C82D1C">
        <w:rPr>
          <w:i/>
          <w:color w:val="1F4E79" w:themeColor="accent1" w:themeShade="80"/>
        </w:rPr>
        <w:t xml:space="preserve"> </w:t>
      </w:r>
      <w:r w:rsidRPr="00775B90">
        <w:rPr>
          <w:b/>
          <w:i/>
          <w:color w:val="1F4E79" w:themeColor="accent1" w:themeShade="80"/>
        </w:rPr>
        <w:t>EHR users</w:t>
      </w:r>
      <w:r w:rsidRPr="00C82D1C">
        <w:rPr>
          <w:i/>
          <w:color w:val="1F4E79" w:themeColor="accent1" w:themeShade="80"/>
        </w:rPr>
        <w:t xml:space="preserve"> </w:t>
      </w:r>
      <w:r>
        <w:rPr>
          <w:i/>
          <w:color w:val="1F4E79" w:themeColor="accent1" w:themeShade="80"/>
        </w:rPr>
        <w:t>at time of data entry that</w:t>
      </w:r>
      <w:r w:rsidRPr="00C82D1C">
        <w:rPr>
          <w:i/>
          <w:color w:val="1F4E79" w:themeColor="accent1" w:themeShade="80"/>
        </w:rPr>
        <w:t xml:space="preserve"> </w:t>
      </w:r>
      <w:r>
        <w:rPr>
          <w:i/>
          <w:color w:val="1F4E79" w:themeColor="accent1" w:themeShade="80"/>
        </w:rPr>
        <w:t>key</w:t>
      </w:r>
      <w:r w:rsidRPr="00C82D1C">
        <w:rPr>
          <w:i/>
          <w:color w:val="1F4E79" w:themeColor="accent1" w:themeShade="80"/>
        </w:rPr>
        <w:t xml:space="preserve"> data elements have</w:t>
      </w:r>
      <w:r>
        <w:rPr>
          <w:i/>
          <w:color w:val="1F4E79" w:themeColor="accent1" w:themeShade="80"/>
        </w:rPr>
        <w:t xml:space="preserve"> not been entered into the EHR and recommends that users complete these data elements</w:t>
      </w:r>
    </w:p>
    <w:p w14:paraId="203578A2" w14:textId="01E8A425" w:rsidR="00A753E4" w:rsidRDefault="00A753E4" w:rsidP="00A753E4">
      <w:pPr>
        <w:pStyle w:val="ListParagraph"/>
        <w:numPr>
          <w:ilvl w:val="2"/>
          <w:numId w:val="2"/>
        </w:numPr>
        <w:spacing w:after="200" w:line="276" w:lineRule="auto"/>
        <w:ind w:left="1440"/>
        <w:rPr>
          <w:i/>
          <w:color w:val="1F4E79" w:themeColor="accent1" w:themeShade="80"/>
        </w:rPr>
      </w:pPr>
      <w:r w:rsidRPr="001903DF">
        <w:rPr>
          <w:i/>
          <w:color w:val="1F4E79" w:themeColor="accent1" w:themeShade="80"/>
        </w:rPr>
        <w:t>A null</w:t>
      </w:r>
      <w:r w:rsidR="00791987">
        <w:rPr>
          <w:i/>
          <w:color w:val="1F4E79" w:themeColor="accent1" w:themeShade="80"/>
        </w:rPr>
        <w:t xml:space="preserve"> f</w:t>
      </w:r>
      <w:r w:rsidRPr="001903DF">
        <w:rPr>
          <w:i/>
          <w:color w:val="1F4E79" w:themeColor="accent1" w:themeShade="80"/>
        </w:rPr>
        <w:t xml:space="preserve">lavor for these elements is not </w:t>
      </w:r>
      <w:r>
        <w:rPr>
          <w:i/>
          <w:color w:val="1F4E79" w:themeColor="accent1" w:themeShade="80"/>
        </w:rPr>
        <w:t xml:space="preserve">an </w:t>
      </w:r>
      <w:r w:rsidRPr="001903DF">
        <w:rPr>
          <w:i/>
          <w:color w:val="1F4E79" w:themeColor="accent1" w:themeShade="80"/>
        </w:rPr>
        <w:t xml:space="preserve">appropriate </w:t>
      </w:r>
      <w:r>
        <w:rPr>
          <w:i/>
          <w:color w:val="1F4E79" w:themeColor="accent1" w:themeShade="80"/>
        </w:rPr>
        <w:t xml:space="preserve">alternative to recording the data elements in the EHR. </w:t>
      </w:r>
      <w:r w:rsidR="00791987">
        <w:rPr>
          <w:i/>
          <w:color w:val="1F4E79" w:themeColor="accent1" w:themeShade="80"/>
        </w:rPr>
        <w:t>Use of null flavor</w:t>
      </w:r>
      <w:r>
        <w:rPr>
          <w:i/>
          <w:color w:val="1F4E79" w:themeColor="accent1" w:themeShade="80"/>
        </w:rPr>
        <w:t xml:space="preserve"> should be reserved for when the information is truly not known by the provider </w:t>
      </w:r>
      <w:r w:rsidRPr="001903DF">
        <w:rPr>
          <w:i/>
          <w:color w:val="1F4E79" w:themeColor="accent1" w:themeShade="80"/>
        </w:rPr>
        <w:t>and should therefore be a very rare occurrence</w:t>
      </w:r>
      <w:r>
        <w:rPr>
          <w:rStyle w:val="FootnoteReference"/>
          <w:i/>
          <w:color w:val="1F4E79" w:themeColor="accent1" w:themeShade="80"/>
        </w:rPr>
        <w:footnoteReference w:id="1"/>
      </w:r>
      <w:r w:rsidRPr="001903DF">
        <w:rPr>
          <w:i/>
          <w:color w:val="1F4E79" w:themeColor="accent1" w:themeShade="80"/>
        </w:rPr>
        <w:t xml:space="preserve">.  </w:t>
      </w:r>
    </w:p>
    <w:p w14:paraId="3E61B266" w14:textId="77777777" w:rsidR="00A753E4" w:rsidRPr="00D71612" w:rsidRDefault="00A753E4" w:rsidP="00A753E4">
      <w:pPr>
        <w:pStyle w:val="ListParagraph"/>
        <w:numPr>
          <w:ilvl w:val="2"/>
          <w:numId w:val="2"/>
        </w:numPr>
        <w:spacing w:after="200" w:line="276" w:lineRule="auto"/>
        <w:ind w:left="1440"/>
        <w:rPr>
          <w:i/>
          <w:color w:val="1F4E79" w:themeColor="accent1" w:themeShade="80"/>
        </w:rPr>
      </w:pPr>
      <w:r w:rsidRPr="00496AA6">
        <w:rPr>
          <w:i/>
          <w:color w:val="1F4E79" w:themeColor="accent1" w:themeShade="80"/>
        </w:rPr>
        <w:t>T</w:t>
      </w:r>
      <w:r>
        <w:rPr>
          <w:i/>
          <w:color w:val="1F4E79" w:themeColor="accent1" w:themeShade="80"/>
        </w:rPr>
        <w:t>he</w:t>
      </w:r>
      <w:r w:rsidRPr="00496AA6">
        <w:rPr>
          <w:i/>
          <w:color w:val="1F4E79" w:themeColor="accent1" w:themeShade="80"/>
        </w:rPr>
        <w:t xml:space="preserve"> </w:t>
      </w:r>
      <w:r>
        <w:rPr>
          <w:i/>
          <w:color w:val="1F4E79" w:themeColor="accent1" w:themeShade="80"/>
        </w:rPr>
        <w:t xml:space="preserve">key </w:t>
      </w:r>
      <w:r w:rsidRPr="00496AA6">
        <w:rPr>
          <w:i/>
          <w:color w:val="1F4E79" w:themeColor="accent1" w:themeShade="80"/>
        </w:rPr>
        <w:t>data elements</w:t>
      </w:r>
      <w:r>
        <w:rPr>
          <w:i/>
          <w:color w:val="1F4E79" w:themeColor="accent1" w:themeShade="80"/>
        </w:rPr>
        <w:t xml:space="preserve"> that, when missing, </w:t>
      </w:r>
      <w:r w:rsidRPr="00D71612">
        <w:rPr>
          <w:i/>
          <w:color w:val="1F4E79" w:themeColor="accent1" w:themeShade="80"/>
        </w:rPr>
        <w:t>prevents a cancer event repo</w:t>
      </w:r>
      <w:r>
        <w:rPr>
          <w:i/>
          <w:color w:val="1F4E79" w:themeColor="accent1" w:themeShade="80"/>
        </w:rPr>
        <w:t>rt being processed accurately</w:t>
      </w:r>
      <w:r w:rsidRPr="00D71612">
        <w:rPr>
          <w:i/>
          <w:color w:val="1F4E79" w:themeColor="accent1" w:themeShade="80"/>
        </w:rPr>
        <w:t xml:space="preserve"> are: </w:t>
      </w:r>
    </w:p>
    <w:p w14:paraId="4505BAD6" w14:textId="66A271B9" w:rsidR="00A753E4" w:rsidRDefault="00A753E4" w:rsidP="00A753E4">
      <w:pPr>
        <w:pStyle w:val="ListParagraph"/>
        <w:numPr>
          <w:ilvl w:val="0"/>
          <w:numId w:val="7"/>
        </w:numPr>
        <w:spacing w:after="200" w:line="276" w:lineRule="auto"/>
        <w:ind w:left="2160"/>
        <w:rPr>
          <w:i/>
          <w:color w:val="1F4E79" w:themeColor="accent1" w:themeShade="80"/>
        </w:rPr>
      </w:pPr>
      <w:r w:rsidRPr="00496AA6">
        <w:rPr>
          <w:i/>
          <w:color w:val="1F4E79" w:themeColor="accent1" w:themeShade="80"/>
        </w:rPr>
        <w:t xml:space="preserve">Primary Anatomic Site </w:t>
      </w:r>
      <w:r w:rsidR="00F73310">
        <w:rPr>
          <w:i/>
          <w:color w:val="1F4E79" w:themeColor="accent1" w:themeShade="80"/>
        </w:rPr>
        <w:t>(</w:t>
      </w:r>
      <w:r w:rsidR="00791987">
        <w:rPr>
          <w:i/>
          <w:color w:val="1F4E79" w:themeColor="accent1" w:themeShade="80"/>
        </w:rPr>
        <w:t>Cancer Implementation Guide (I</w:t>
      </w:r>
      <w:r w:rsidR="00F73310">
        <w:rPr>
          <w:i/>
          <w:color w:val="1F4E79" w:themeColor="accent1" w:themeShade="80"/>
        </w:rPr>
        <w:t>G</w:t>
      </w:r>
      <w:r w:rsidR="00791987">
        <w:rPr>
          <w:i/>
          <w:color w:val="1F4E79" w:themeColor="accent1" w:themeShade="80"/>
        </w:rPr>
        <w:t>)</w:t>
      </w:r>
      <w:r w:rsidR="00F73310">
        <w:rPr>
          <w:i/>
          <w:color w:val="1F4E79" w:themeColor="accent1" w:themeShade="80"/>
        </w:rPr>
        <w:t xml:space="preserve"> does not allow this element to be missing or null</w:t>
      </w:r>
      <w:r w:rsidR="00791987">
        <w:rPr>
          <w:i/>
          <w:color w:val="1F4E79" w:themeColor="accent1" w:themeShade="80"/>
        </w:rPr>
        <w:t>))</w:t>
      </w:r>
    </w:p>
    <w:p w14:paraId="07DD7E09" w14:textId="77777777" w:rsidR="00A753E4" w:rsidRPr="00496AA6" w:rsidRDefault="00A753E4" w:rsidP="00A753E4">
      <w:pPr>
        <w:pStyle w:val="ListParagraph"/>
        <w:numPr>
          <w:ilvl w:val="0"/>
          <w:numId w:val="7"/>
        </w:numPr>
        <w:spacing w:after="200" w:line="276" w:lineRule="auto"/>
        <w:ind w:left="2160"/>
        <w:rPr>
          <w:i/>
          <w:color w:val="1F4E79" w:themeColor="accent1" w:themeShade="80"/>
        </w:rPr>
      </w:pPr>
      <w:r>
        <w:rPr>
          <w:i/>
          <w:color w:val="1F4E79" w:themeColor="accent1" w:themeShade="80"/>
        </w:rPr>
        <w:t>Laterality</w:t>
      </w:r>
    </w:p>
    <w:p w14:paraId="5738CE06" w14:textId="77777777" w:rsidR="00A753E4" w:rsidRPr="00496AA6" w:rsidRDefault="00A753E4" w:rsidP="00A753E4">
      <w:pPr>
        <w:pStyle w:val="ListParagraph"/>
        <w:numPr>
          <w:ilvl w:val="0"/>
          <w:numId w:val="7"/>
        </w:numPr>
        <w:spacing w:after="200" w:line="276" w:lineRule="auto"/>
        <w:ind w:left="2160"/>
        <w:rPr>
          <w:i/>
          <w:color w:val="1F4E79" w:themeColor="accent1" w:themeShade="80"/>
        </w:rPr>
      </w:pPr>
      <w:r w:rsidRPr="00496AA6">
        <w:rPr>
          <w:i/>
          <w:color w:val="1F4E79" w:themeColor="accent1" w:themeShade="80"/>
        </w:rPr>
        <w:t xml:space="preserve">Histologic Type </w:t>
      </w:r>
    </w:p>
    <w:p w14:paraId="3944A335" w14:textId="77777777" w:rsidR="00A753E4" w:rsidRDefault="00A753E4" w:rsidP="00A753E4">
      <w:pPr>
        <w:pStyle w:val="ListParagraph"/>
        <w:numPr>
          <w:ilvl w:val="0"/>
          <w:numId w:val="7"/>
        </w:numPr>
        <w:spacing w:after="200" w:line="276" w:lineRule="auto"/>
        <w:ind w:left="2160"/>
        <w:rPr>
          <w:i/>
          <w:color w:val="1F4E79" w:themeColor="accent1" w:themeShade="80"/>
        </w:rPr>
      </w:pPr>
      <w:r>
        <w:rPr>
          <w:i/>
          <w:color w:val="1F4E79" w:themeColor="accent1" w:themeShade="80"/>
        </w:rPr>
        <w:t>Behavior</w:t>
      </w:r>
    </w:p>
    <w:p w14:paraId="1935F8BB" w14:textId="77777777" w:rsidR="00A753E4" w:rsidRPr="00496AA6" w:rsidRDefault="00A753E4" w:rsidP="00A753E4">
      <w:pPr>
        <w:pStyle w:val="ListParagraph"/>
        <w:numPr>
          <w:ilvl w:val="0"/>
          <w:numId w:val="7"/>
        </w:numPr>
        <w:spacing w:after="200" w:line="276" w:lineRule="auto"/>
        <w:ind w:left="2160"/>
        <w:rPr>
          <w:i/>
          <w:color w:val="1F4E79" w:themeColor="accent1" w:themeShade="80"/>
        </w:rPr>
      </w:pPr>
      <w:r w:rsidRPr="00496AA6">
        <w:rPr>
          <w:i/>
          <w:color w:val="1F4E79" w:themeColor="accent1" w:themeShade="80"/>
        </w:rPr>
        <w:t xml:space="preserve">Date of </w:t>
      </w:r>
      <w:r>
        <w:rPr>
          <w:i/>
          <w:color w:val="1F4E79" w:themeColor="accent1" w:themeShade="80"/>
        </w:rPr>
        <w:t xml:space="preserve">Cancer </w:t>
      </w:r>
      <w:r w:rsidRPr="00496AA6">
        <w:rPr>
          <w:i/>
          <w:color w:val="1F4E79" w:themeColor="accent1" w:themeShade="80"/>
        </w:rPr>
        <w:t>Diagnosis</w:t>
      </w:r>
    </w:p>
    <w:p w14:paraId="4693D48E" w14:textId="77777777" w:rsidR="00A753E4" w:rsidRPr="00496AA6" w:rsidRDefault="00A753E4" w:rsidP="00A753E4">
      <w:pPr>
        <w:pStyle w:val="ListParagraph"/>
        <w:numPr>
          <w:ilvl w:val="0"/>
          <w:numId w:val="7"/>
        </w:numPr>
        <w:spacing w:after="200" w:line="276" w:lineRule="auto"/>
        <w:ind w:left="2160"/>
        <w:rPr>
          <w:i/>
          <w:color w:val="1F4E79" w:themeColor="accent1" w:themeShade="80"/>
        </w:rPr>
      </w:pPr>
      <w:r w:rsidRPr="00496AA6">
        <w:rPr>
          <w:i/>
          <w:color w:val="1F4E79" w:themeColor="accent1" w:themeShade="80"/>
        </w:rPr>
        <w:t xml:space="preserve">Patient Name – Last </w:t>
      </w:r>
    </w:p>
    <w:p w14:paraId="304E3563" w14:textId="77777777" w:rsidR="00A753E4" w:rsidRPr="00496AA6" w:rsidRDefault="00A753E4" w:rsidP="00A753E4">
      <w:pPr>
        <w:pStyle w:val="ListParagraph"/>
        <w:numPr>
          <w:ilvl w:val="0"/>
          <w:numId w:val="7"/>
        </w:numPr>
        <w:spacing w:after="200" w:line="276" w:lineRule="auto"/>
        <w:ind w:left="2160"/>
        <w:rPr>
          <w:i/>
          <w:color w:val="1F4E79" w:themeColor="accent1" w:themeShade="80"/>
        </w:rPr>
      </w:pPr>
      <w:r w:rsidRPr="00496AA6">
        <w:rPr>
          <w:i/>
          <w:color w:val="1F4E79" w:themeColor="accent1" w:themeShade="80"/>
        </w:rPr>
        <w:t xml:space="preserve">Patient Name – First </w:t>
      </w:r>
    </w:p>
    <w:p w14:paraId="4362DCB9" w14:textId="77777777" w:rsidR="00A753E4" w:rsidRPr="00496AA6" w:rsidRDefault="00A753E4" w:rsidP="00A753E4">
      <w:pPr>
        <w:pStyle w:val="ListParagraph"/>
        <w:numPr>
          <w:ilvl w:val="0"/>
          <w:numId w:val="7"/>
        </w:numPr>
        <w:spacing w:after="200" w:line="276" w:lineRule="auto"/>
        <w:ind w:left="2160"/>
        <w:rPr>
          <w:i/>
          <w:color w:val="1F4E79" w:themeColor="accent1" w:themeShade="80"/>
        </w:rPr>
      </w:pPr>
      <w:r w:rsidRPr="00496AA6">
        <w:rPr>
          <w:i/>
          <w:color w:val="1F4E79" w:themeColor="accent1" w:themeShade="80"/>
        </w:rPr>
        <w:t xml:space="preserve">Patient Sex/Gender </w:t>
      </w:r>
    </w:p>
    <w:p w14:paraId="42BA832B" w14:textId="77777777" w:rsidR="00A753E4" w:rsidRPr="00496AA6" w:rsidRDefault="00A753E4" w:rsidP="00A753E4">
      <w:pPr>
        <w:pStyle w:val="ListParagraph"/>
        <w:numPr>
          <w:ilvl w:val="0"/>
          <w:numId w:val="7"/>
        </w:numPr>
        <w:spacing w:after="200" w:line="276" w:lineRule="auto"/>
        <w:ind w:left="2160"/>
        <w:rPr>
          <w:i/>
          <w:color w:val="1F4E79" w:themeColor="accent1" w:themeShade="80"/>
        </w:rPr>
      </w:pPr>
      <w:r w:rsidRPr="00496AA6">
        <w:rPr>
          <w:i/>
          <w:color w:val="1F4E79" w:themeColor="accent1" w:themeShade="80"/>
        </w:rPr>
        <w:t xml:space="preserve">Patient Date of Birth </w:t>
      </w:r>
    </w:p>
    <w:p w14:paraId="0846D9EC" w14:textId="77777777" w:rsidR="00A753E4" w:rsidRDefault="00A753E4" w:rsidP="00A753E4">
      <w:pPr>
        <w:pStyle w:val="ListParagraph"/>
        <w:numPr>
          <w:ilvl w:val="0"/>
          <w:numId w:val="7"/>
        </w:numPr>
        <w:spacing w:after="200" w:line="276" w:lineRule="auto"/>
        <w:ind w:left="2160"/>
        <w:rPr>
          <w:i/>
          <w:color w:val="1F4E79" w:themeColor="accent1" w:themeShade="80"/>
        </w:rPr>
      </w:pPr>
      <w:r w:rsidRPr="00496AA6">
        <w:rPr>
          <w:i/>
          <w:color w:val="1F4E79" w:themeColor="accent1" w:themeShade="80"/>
        </w:rPr>
        <w:t xml:space="preserve">Date Case Report Exported </w:t>
      </w:r>
    </w:p>
    <w:p w14:paraId="2F1A18DC" w14:textId="077FD20B" w:rsidR="00D901F5" w:rsidRPr="008F7778" w:rsidRDefault="00D901F5" w:rsidP="00791987">
      <w:pPr>
        <w:pStyle w:val="ListParagraph"/>
        <w:numPr>
          <w:ilvl w:val="2"/>
          <w:numId w:val="2"/>
        </w:numPr>
        <w:spacing w:after="200" w:line="276" w:lineRule="auto"/>
        <w:ind w:left="1440"/>
        <w:rPr>
          <w:i/>
          <w:color w:val="1F4E79" w:themeColor="accent1" w:themeShade="80"/>
        </w:rPr>
      </w:pPr>
      <w:r w:rsidRPr="00791987">
        <w:rPr>
          <w:i/>
          <w:color w:val="1F4E79" w:themeColor="accent1" w:themeShade="80"/>
        </w:rPr>
        <w:lastRenderedPageBreak/>
        <w:t>The key elements list does not eliminate the need to follow the IG requirements for data completion.</w:t>
      </w:r>
    </w:p>
    <w:p w14:paraId="2122E949" w14:textId="77777777" w:rsidR="00A753E4" w:rsidRDefault="00A753E4" w:rsidP="00A753E4">
      <w:pPr>
        <w:pStyle w:val="ListParagraph"/>
        <w:numPr>
          <w:ilvl w:val="1"/>
          <w:numId w:val="2"/>
        </w:numPr>
        <w:spacing w:after="200" w:line="276" w:lineRule="auto"/>
        <w:ind w:left="720"/>
        <w:rPr>
          <w:i/>
          <w:color w:val="1F4E79" w:themeColor="accent1" w:themeShade="80"/>
        </w:rPr>
      </w:pPr>
      <w:r>
        <w:rPr>
          <w:i/>
          <w:color w:val="1F4E79" w:themeColor="accent1" w:themeShade="80"/>
        </w:rPr>
        <w:t>Does</w:t>
      </w:r>
      <w:r w:rsidRPr="00C82D1C">
        <w:rPr>
          <w:i/>
          <w:color w:val="1F4E79" w:themeColor="accent1" w:themeShade="80"/>
        </w:rPr>
        <w:t xml:space="preserve"> not send a cancer CDA</w:t>
      </w:r>
      <w:r>
        <w:rPr>
          <w:i/>
          <w:color w:val="1F4E79" w:themeColor="accent1" w:themeShade="80"/>
        </w:rPr>
        <w:t xml:space="preserve"> report to the cancer registry</w:t>
      </w:r>
      <w:r w:rsidRPr="00C82D1C">
        <w:rPr>
          <w:i/>
          <w:color w:val="1F4E79" w:themeColor="accent1" w:themeShade="80"/>
        </w:rPr>
        <w:t xml:space="preserve"> if it does not pass the cancer reportability check or if the primary site </w:t>
      </w:r>
      <w:r>
        <w:rPr>
          <w:i/>
          <w:color w:val="1F4E79" w:themeColor="accent1" w:themeShade="80"/>
        </w:rPr>
        <w:t xml:space="preserve">of the cancer </w:t>
      </w:r>
      <w:r w:rsidRPr="00C82D1C">
        <w:rPr>
          <w:i/>
          <w:color w:val="1F4E79" w:themeColor="accent1" w:themeShade="80"/>
        </w:rPr>
        <w:t>is missing.</w:t>
      </w:r>
    </w:p>
    <w:p w14:paraId="535C51FC" w14:textId="77777777" w:rsidR="00A753E4" w:rsidRPr="005846BA" w:rsidRDefault="00A753E4" w:rsidP="00A753E4">
      <w:pPr>
        <w:pStyle w:val="ListParagraph"/>
        <w:numPr>
          <w:ilvl w:val="2"/>
          <w:numId w:val="2"/>
        </w:numPr>
        <w:spacing w:after="200" w:line="276" w:lineRule="auto"/>
        <w:ind w:left="1440"/>
        <w:rPr>
          <w:i/>
          <w:color w:val="1F4E79" w:themeColor="accent1" w:themeShade="80"/>
        </w:rPr>
      </w:pPr>
      <w:r>
        <w:rPr>
          <w:i/>
          <w:color w:val="1F4E79" w:themeColor="accent1" w:themeShade="80"/>
        </w:rPr>
        <w:t>This reflects the requirements in the Meaningful Use Stage 2 Implementation Guide.</w:t>
      </w:r>
    </w:p>
    <w:p w14:paraId="17C220CB" w14:textId="5230A67F" w:rsidR="00A753E4" w:rsidRPr="005D5812" w:rsidRDefault="00E81B01" w:rsidP="00E81B01">
      <w:pPr>
        <w:pStyle w:val="ListParagraph"/>
        <w:numPr>
          <w:ilvl w:val="1"/>
          <w:numId w:val="2"/>
        </w:numPr>
        <w:spacing w:after="200" w:line="276" w:lineRule="auto"/>
        <w:ind w:left="720"/>
        <w:rPr>
          <w:b/>
          <w:i/>
          <w:color w:val="1F4E79" w:themeColor="accent1" w:themeShade="80"/>
        </w:rPr>
      </w:pPr>
      <w:r w:rsidRPr="00E81B01">
        <w:rPr>
          <w:b/>
          <w:i/>
          <w:color w:val="1F4E79" w:themeColor="accent1" w:themeShade="80"/>
        </w:rPr>
        <w:t>Submits the cancer CDA report to the cancer registry even though the above key data elements are missing, except primary anatomic site which must be present.</w:t>
      </w:r>
    </w:p>
    <w:p w14:paraId="0D70C2F9" w14:textId="77777777" w:rsidR="00A753E4" w:rsidRDefault="00A753E4" w:rsidP="00A753E4">
      <w:pPr>
        <w:pStyle w:val="ListParagraph"/>
        <w:numPr>
          <w:ilvl w:val="1"/>
          <w:numId w:val="2"/>
        </w:numPr>
        <w:spacing w:after="200" w:line="276" w:lineRule="auto"/>
        <w:ind w:left="720"/>
        <w:rPr>
          <w:i/>
          <w:color w:val="1F4E79" w:themeColor="accent1" w:themeShade="80"/>
        </w:rPr>
      </w:pPr>
      <w:r>
        <w:rPr>
          <w:i/>
          <w:color w:val="1F4E79" w:themeColor="accent1" w:themeShade="80"/>
        </w:rPr>
        <w:t>Provides a dashboard-type alert to EHR users that identifies:</w:t>
      </w:r>
    </w:p>
    <w:p w14:paraId="39F478EA" w14:textId="77777777" w:rsidR="00A753E4" w:rsidRDefault="00A753E4" w:rsidP="00A753E4">
      <w:pPr>
        <w:pStyle w:val="ListParagraph"/>
        <w:numPr>
          <w:ilvl w:val="2"/>
          <w:numId w:val="2"/>
        </w:numPr>
        <w:spacing w:after="200" w:line="276" w:lineRule="auto"/>
        <w:ind w:left="1440"/>
        <w:rPr>
          <w:i/>
          <w:color w:val="1F4E79" w:themeColor="accent1" w:themeShade="80"/>
        </w:rPr>
      </w:pPr>
      <w:r>
        <w:rPr>
          <w:i/>
          <w:color w:val="1F4E79" w:themeColor="accent1" w:themeShade="80"/>
        </w:rPr>
        <w:t>Cases that have not been sent to the cancer registry because the primary site of the cancer was not available/missing</w:t>
      </w:r>
    </w:p>
    <w:p w14:paraId="72CF7428" w14:textId="77777777" w:rsidR="00A753E4" w:rsidRPr="00E7614F" w:rsidRDefault="00A753E4" w:rsidP="00A753E4">
      <w:pPr>
        <w:pStyle w:val="ListParagraph"/>
        <w:numPr>
          <w:ilvl w:val="2"/>
          <w:numId w:val="2"/>
        </w:numPr>
        <w:spacing w:after="200" w:line="276" w:lineRule="auto"/>
        <w:ind w:left="1440"/>
        <w:rPr>
          <w:i/>
          <w:color w:val="1F4E79" w:themeColor="accent1" w:themeShade="80"/>
        </w:rPr>
      </w:pPr>
      <w:r>
        <w:rPr>
          <w:i/>
          <w:color w:val="1F4E79" w:themeColor="accent1" w:themeShade="80"/>
        </w:rPr>
        <w:t>C</w:t>
      </w:r>
      <w:r w:rsidRPr="00E7614F">
        <w:rPr>
          <w:i/>
          <w:color w:val="1F4E79" w:themeColor="accent1" w:themeShade="80"/>
        </w:rPr>
        <w:t xml:space="preserve">ases that have been sent to the cancer registry with </w:t>
      </w:r>
      <w:r>
        <w:rPr>
          <w:i/>
          <w:color w:val="1F4E79" w:themeColor="accent1" w:themeShade="80"/>
        </w:rPr>
        <w:t>key data elements missing.</w:t>
      </w:r>
      <w:r w:rsidRPr="00E7614F">
        <w:rPr>
          <w:i/>
          <w:color w:val="1F4E79" w:themeColor="accent1" w:themeShade="80"/>
        </w:rPr>
        <w:t xml:space="preserve">  </w:t>
      </w:r>
    </w:p>
    <w:p w14:paraId="1BA829DB" w14:textId="77777777" w:rsidR="00A753E4" w:rsidRDefault="00A753E4" w:rsidP="00A753E4">
      <w:pPr>
        <w:pStyle w:val="ListParagraph"/>
        <w:numPr>
          <w:ilvl w:val="1"/>
          <w:numId w:val="2"/>
        </w:numPr>
        <w:spacing w:after="200" w:line="276" w:lineRule="auto"/>
        <w:ind w:left="720"/>
        <w:rPr>
          <w:i/>
          <w:color w:val="1F4E79" w:themeColor="accent1" w:themeShade="80"/>
        </w:rPr>
      </w:pPr>
      <w:r>
        <w:rPr>
          <w:i/>
          <w:color w:val="1F4E79" w:themeColor="accent1" w:themeShade="80"/>
        </w:rPr>
        <w:t>Routinely informs</w:t>
      </w:r>
      <w:r w:rsidRPr="00487114">
        <w:rPr>
          <w:i/>
          <w:color w:val="1F4E79" w:themeColor="accent1" w:themeShade="80"/>
        </w:rPr>
        <w:t xml:space="preserve"> the </w:t>
      </w:r>
      <w:r w:rsidRPr="00487114">
        <w:rPr>
          <w:b/>
          <w:i/>
          <w:color w:val="1F4E79" w:themeColor="accent1" w:themeShade="80"/>
        </w:rPr>
        <w:t>cancer registry</w:t>
      </w:r>
      <w:r w:rsidRPr="00487114">
        <w:rPr>
          <w:i/>
          <w:color w:val="1F4E79" w:themeColor="accent1" w:themeShade="80"/>
        </w:rPr>
        <w:t xml:space="preserve"> of the number of reports that haven’t been submitted because </w:t>
      </w:r>
      <w:r w:rsidRPr="004441B8">
        <w:rPr>
          <w:b/>
          <w:i/>
          <w:color w:val="1F4E79" w:themeColor="accent1" w:themeShade="80"/>
        </w:rPr>
        <w:t>primary site</w:t>
      </w:r>
      <w:r w:rsidRPr="00487114">
        <w:rPr>
          <w:i/>
          <w:color w:val="1F4E79" w:themeColor="accent1" w:themeShade="80"/>
        </w:rPr>
        <w:t xml:space="preserve"> </w:t>
      </w:r>
      <w:r>
        <w:rPr>
          <w:i/>
          <w:color w:val="1F4E79" w:themeColor="accent1" w:themeShade="80"/>
        </w:rPr>
        <w:t>is not available.</w:t>
      </w:r>
      <w:r w:rsidRPr="00342E77">
        <w:rPr>
          <w:i/>
          <w:color w:val="1F4E79" w:themeColor="accent1" w:themeShade="80"/>
        </w:rPr>
        <w:tab/>
      </w:r>
    </w:p>
    <w:p w14:paraId="653923A0" w14:textId="4B443E35" w:rsidR="00A6364A" w:rsidRPr="00A6364A" w:rsidRDefault="00A6364A" w:rsidP="00A6364A">
      <w:pPr>
        <w:pStyle w:val="ListParagraph"/>
        <w:numPr>
          <w:ilvl w:val="1"/>
          <w:numId w:val="2"/>
        </w:numPr>
        <w:spacing w:after="200" w:line="276" w:lineRule="auto"/>
        <w:ind w:left="720"/>
        <w:rPr>
          <w:i/>
          <w:color w:val="1F4E79" w:themeColor="accent1" w:themeShade="80"/>
        </w:rPr>
      </w:pPr>
      <w:r w:rsidRPr="00A6364A">
        <w:rPr>
          <w:i/>
          <w:color w:val="1F4E79" w:themeColor="accent1" w:themeShade="80"/>
        </w:rPr>
        <w:t xml:space="preserve">Use the International Classification of Diseases for Oncology (ICD-O; most recent edition) or SNOMED CT’s morphologic abnormalities concept codes for the </w:t>
      </w:r>
      <w:r w:rsidRPr="00A6364A">
        <w:rPr>
          <w:b/>
          <w:i/>
          <w:color w:val="1F4E79" w:themeColor="accent1" w:themeShade="80"/>
        </w:rPr>
        <w:t>histology</w:t>
      </w:r>
      <w:r w:rsidRPr="00A6364A">
        <w:rPr>
          <w:i/>
          <w:color w:val="1F4E79" w:themeColor="accent1" w:themeShade="80"/>
        </w:rPr>
        <w:t xml:space="preserve"> data element. </w:t>
      </w:r>
    </w:p>
    <w:p w14:paraId="1B53C4CD" w14:textId="5C188B30" w:rsidR="00A6364A" w:rsidRPr="00A6364A" w:rsidRDefault="00A6364A" w:rsidP="00A6364A">
      <w:pPr>
        <w:pStyle w:val="ListParagraph"/>
        <w:numPr>
          <w:ilvl w:val="2"/>
          <w:numId w:val="2"/>
        </w:numPr>
        <w:spacing w:after="200" w:line="276" w:lineRule="auto"/>
        <w:ind w:left="1440"/>
        <w:rPr>
          <w:i/>
          <w:color w:val="1F4E79" w:themeColor="accent1" w:themeShade="80"/>
        </w:rPr>
      </w:pPr>
      <w:r w:rsidRPr="00A6364A">
        <w:rPr>
          <w:i/>
          <w:color w:val="1F4E79" w:themeColor="accent1" w:themeShade="80"/>
        </w:rPr>
        <w:t xml:space="preserve">Rationale: The Centers for Medicare &amp; Medicaid Services (CMS) has retired ICD-9-CM as the coding system for diagnosis information on claims, replacing it with ICD-10-CM codes. We recommend that it no longer be used for Meaningful Use cancer reporting as well. The ICD-9-CM Morphology List was fully retired; ICD-10-CM contains no Morphology List.  </w:t>
      </w:r>
    </w:p>
    <w:p w14:paraId="1D5A6BD6" w14:textId="4A217653" w:rsidR="00A753E4" w:rsidRPr="00496790" w:rsidRDefault="00A753E4" w:rsidP="00A753E4">
      <w:pPr>
        <w:spacing w:after="200" w:line="276" w:lineRule="auto"/>
        <w:rPr>
          <w:i/>
          <w:color w:val="1F4E79" w:themeColor="accent1" w:themeShade="80"/>
        </w:rPr>
      </w:pPr>
      <w:r w:rsidRPr="00496790">
        <w:rPr>
          <w:b/>
          <w:i/>
        </w:rPr>
        <w:t>CDC</w:t>
      </w:r>
      <w:r w:rsidR="00A85152">
        <w:rPr>
          <w:b/>
          <w:i/>
        </w:rPr>
        <w:t>-NPCR</w:t>
      </w:r>
      <w:r w:rsidRPr="00496790">
        <w:rPr>
          <w:b/>
          <w:i/>
        </w:rPr>
        <w:t xml:space="preserve"> further recommends that:</w:t>
      </w:r>
    </w:p>
    <w:p w14:paraId="30E7A9D7" w14:textId="5016464D" w:rsidR="00A753E4" w:rsidRDefault="00A753E4" w:rsidP="00A753E4">
      <w:pPr>
        <w:pStyle w:val="ListParagraph"/>
        <w:numPr>
          <w:ilvl w:val="1"/>
          <w:numId w:val="8"/>
        </w:numPr>
        <w:spacing w:after="200" w:line="276" w:lineRule="auto"/>
        <w:ind w:left="720"/>
        <w:rPr>
          <w:i/>
          <w:color w:val="1F4E79" w:themeColor="accent1" w:themeShade="80"/>
        </w:rPr>
      </w:pPr>
      <w:r w:rsidRPr="00D71612">
        <w:rPr>
          <w:i/>
          <w:color w:val="1F4E79" w:themeColor="accent1" w:themeShade="80"/>
        </w:rPr>
        <w:t>State cancer registries</w:t>
      </w:r>
      <w:r>
        <w:rPr>
          <w:i/>
          <w:color w:val="1F4E79" w:themeColor="accent1" w:themeShade="80"/>
        </w:rPr>
        <w:t xml:space="preserve"> i</w:t>
      </w:r>
      <w:r w:rsidRPr="00C82D1C">
        <w:rPr>
          <w:i/>
          <w:color w:val="1F4E79" w:themeColor="accent1" w:themeShade="80"/>
        </w:rPr>
        <w:t>nform CDC</w:t>
      </w:r>
      <w:r w:rsidR="00A85152">
        <w:rPr>
          <w:i/>
          <w:color w:val="1F4E79" w:themeColor="accent1" w:themeShade="80"/>
        </w:rPr>
        <w:t>-NPCR</w:t>
      </w:r>
      <w:r w:rsidRPr="00C82D1C">
        <w:rPr>
          <w:i/>
          <w:color w:val="1F4E79" w:themeColor="accent1" w:themeShade="80"/>
        </w:rPr>
        <w:t xml:space="preserve"> of consistently missing data so </w:t>
      </w:r>
      <w:r>
        <w:rPr>
          <w:i/>
          <w:color w:val="1F4E79" w:themeColor="accent1" w:themeShade="80"/>
        </w:rPr>
        <w:t xml:space="preserve">that </w:t>
      </w:r>
      <w:r w:rsidRPr="00C82D1C">
        <w:rPr>
          <w:i/>
          <w:color w:val="1F4E79" w:themeColor="accent1" w:themeShade="80"/>
        </w:rPr>
        <w:t>CDC</w:t>
      </w:r>
      <w:r w:rsidR="00A85152">
        <w:rPr>
          <w:i/>
          <w:color w:val="1F4E79" w:themeColor="accent1" w:themeShade="80"/>
        </w:rPr>
        <w:t>-NPCR</w:t>
      </w:r>
      <w:r w:rsidRPr="00C82D1C">
        <w:rPr>
          <w:i/>
          <w:color w:val="1F4E79" w:themeColor="accent1" w:themeShade="80"/>
        </w:rPr>
        <w:t xml:space="preserve"> and the registries </w:t>
      </w:r>
      <w:r>
        <w:rPr>
          <w:i/>
          <w:color w:val="1F4E79" w:themeColor="accent1" w:themeShade="80"/>
        </w:rPr>
        <w:t xml:space="preserve">can </w:t>
      </w:r>
      <w:r w:rsidRPr="00C82D1C">
        <w:rPr>
          <w:i/>
          <w:color w:val="1F4E79" w:themeColor="accent1" w:themeShade="80"/>
        </w:rPr>
        <w:t>actively work with vendors to improve data completeness.</w:t>
      </w:r>
    </w:p>
    <w:p w14:paraId="0B596EF6" w14:textId="5F529558" w:rsidR="00DC695C" w:rsidRPr="00C82D1C" w:rsidRDefault="00DC695C" w:rsidP="00A753E4">
      <w:pPr>
        <w:pStyle w:val="ListParagraph"/>
        <w:numPr>
          <w:ilvl w:val="1"/>
          <w:numId w:val="8"/>
        </w:numPr>
        <w:spacing w:after="200" w:line="276" w:lineRule="auto"/>
        <w:ind w:left="720"/>
        <w:rPr>
          <w:i/>
          <w:color w:val="1F4E79" w:themeColor="accent1" w:themeShade="80"/>
        </w:rPr>
      </w:pPr>
      <w:r>
        <w:rPr>
          <w:i/>
          <w:color w:val="1F4E79" w:themeColor="accent1" w:themeShade="80"/>
        </w:rPr>
        <w:t>State registries inform providers on the importance of, and rationale for, the data being collected.</w:t>
      </w:r>
    </w:p>
    <w:p w14:paraId="0C3BBF17" w14:textId="41916AC4" w:rsidR="008479E3" w:rsidRPr="00791987" w:rsidRDefault="00A753E4" w:rsidP="008479E3">
      <w:pPr>
        <w:pStyle w:val="ListParagraph"/>
        <w:numPr>
          <w:ilvl w:val="1"/>
          <w:numId w:val="8"/>
        </w:numPr>
        <w:spacing w:after="200" w:line="276" w:lineRule="auto"/>
        <w:ind w:left="720"/>
        <w:rPr>
          <w:i/>
          <w:color w:val="1F4E79" w:themeColor="accent1" w:themeShade="80"/>
        </w:rPr>
      </w:pPr>
      <w:r w:rsidRPr="00EE5EA7">
        <w:rPr>
          <w:i/>
          <w:color w:val="1F4E79" w:themeColor="accent1" w:themeShade="80"/>
        </w:rPr>
        <w:t xml:space="preserve">EHR vendors </w:t>
      </w:r>
      <w:r>
        <w:rPr>
          <w:i/>
          <w:color w:val="1F4E79" w:themeColor="accent1" w:themeShade="80"/>
        </w:rPr>
        <w:t xml:space="preserve">take advantage of the invitation to work individually </w:t>
      </w:r>
      <w:r w:rsidRPr="00EE5EA7">
        <w:rPr>
          <w:i/>
          <w:color w:val="1F4E79" w:themeColor="accent1" w:themeShade="80"/>
        </w:rPr>
        <w:t xml:space="preserve">with the </w:t>
      </w:r>
      <w:r>
        <w:rPr>
          <w:i/>
          <w:color w:val="1F4E79" w:themeColor="accent1" w:themeShade="80"/>
        </w:rPr>
        <w:t>CDC</w:t>
      </w:r>
      <w:r w:rsidR="00A85152">
        <w:rPr>
          <w:i/>
          <w:color w:val="1F4E79" w:themeColor="accent1" w:themeShade="80"/>
        </w:rPr>
        <w:t>-NPCR</w:t>
      </w:r>
      <w:r w:rsidRPr="00EE5EA7">
        <w:rPr>
          <w:i/>
          <w:color w:val="1F4E79" w:themeColor="accent1" w:themeShade="80"/>
        </w:rPr>
        <w:t xml:space="preserve"> </w:t>
      </w:r>
      <w:r>
        <w:rPr>
          <w:i/>
          <w:color w:val="1F4E79" w:themeColor="accent1" w:themeShade="80"/>
        </w:rPr>
        <w:t xml:space="preserve">and states to evaluate areas for improved EHR workflow (e.g., developing focused pick lists, using existing resources, etc.). </w:t>
      </w:r>
    </w:p>
    <w:p w14:paraId="45A5F939" w14:textId="0F38C915" w:rsidR="00E807DB" w:rsidRPr="00A753E4" w:rsidRDefault="00E807DB" w:rsidP="00A753E4"/>
    <w:sectPr w:rsidR="00E807DB" w:rsidRPr="00A753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6716B" w14:textId="77777777" w:rsidR="00DC695C" w:rsidRDefault="00DC695C" w:rsidP="00FF0BA4">
      <w:pPr>
        <w:spacing w:after="0" w:line="240" w:lineRule="auto"/>
      </w:pPr>
      <w:r>
        <w:separator/>
      </w:r>
    </w:p>
  </w:endnote>
  <w:endnote w:type="continuationSeparator" w:id="0">
    <w:p w14:paraId="212D3CF1" w14:textId="77777777" w:rsidR="00DC695C" w:rsidRDefault="00DC695C" w:rsidP="00FF0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02665" w14:textId="77777777" w:rsidR="00DC695C" w:rsidRDefault="00DC695C" w:rsidP="00FF0BA4">
      <w:pPr>
        <w:spacing w:after="0" w:line="240" w:lineRule="auto"/>
      </w:pPr>
      <w:r>
        <w:separator/>
      </w:r>
    </w:p>
  </w:footnote>
  <w:footnote w:type="continuationSeparator" w:id="0">
    <w:p w14:paraId="3C4B7D4F" w14:textId="77777777" w:rsidR="00DC695C" w:rsidRDefault="00DC695C" w:rsidP="00FF0BA4">
      <w:pPr>
        <w:spacing w:after="0" w:line="240" w:lineRule="auto"/>
      </w:pPr>
      <w:r>
        <w:continuationSeparator/>
      </w:r>
    </w:p>
  </w:footnote>
  <w:footnote w:id="1">
    <w:p w14:paraId="2C5ADAA5" w14:textId="04194913" w:rsidR="00DC695C" w:rsidRDefault="00DC695C" w:rsidP="00A753E4">
      <w:pPr>
        <w:pStyle w:val="FootnoteText"/>
      </w:pPr>
      <w:r>
        <w:rPr>
          <w:rStyle w:val="FootnoteReference"/>
        </w:rPr>
        <w:footnoteRef/>
      </w:r>
      <w:r>
        <w:t xml:space="preserve"> These data elements will not be allowed to be missing (i.e., null</w:t>
      </w:r>
      <w:r w:rsidR="00791987">
        <w:t xml:space="preserve"> f</w:t>
      </w:r>
      <w:r>
        <w:t>lavor) in Meaningful Use Stage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A45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F0A10B5"/>
    <w:multiLevelType w:val="hybridMultilevel"/>
    <w:tmpl w:val="4450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6D01A9"/>
    <w:multiLevelType w:val="hybridMultilevel"/>
    <w:tmpl w:val="C8F020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1B42667"/>
    <w:multiLevelType w:val="hybridMultilevel"/>
    <w:tmpl w:val="9DC28C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1532D8"/>
    <w:multiLevelType w:val="hybridMultilevel"/>
    <w:tmpl w:val="96BE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FB683D"/>
    <w:multiLevelType w:val="hybridMultilevel"/>
    <w:tmpl w:val="ECB21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5626D2"/>
    <w:multiLevelType w:val="hybridMultilevel"/>
    <w:tmpl w:val="D8D4F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CD20AA"/>
    <w:multiLevelType w:val="hybridMultilevel"/>
    <w:tmpl w:val="D1DA58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A534EC3"/>
    <w:multiLevelType w:val="hybridMultilevel"/>
    <w:tmpl w:val="6D886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F7EBF06">
      <w:start w:val="1"/>
      <w:numFmt w:val="lowerRoman"/>
      <w:lvlText w:val="%3."/>
      <w:lvlJc w:val="right"/>
      <w:pPr>
        <w:ind w:left="2160" w:hanging="180"/>
      </w:pPr>
      <w:rPr>
        <w: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275EE3"/>
    <w:multiLevelType w:val="hybridMultilevel"/>
    <w:tmpl w:val="40D0F00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F40047C"/>
    <w:multiLevelType w:val="hybridMultilevel"/>
    <w:tmpl w:val="15AA767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8"/>
  </w:num>
  <w:num w:numId="3">
    <w:abstractNumId w:val="5"/>
  </w:num>
  <w:num w:numId="4">
    <w:abstractNumId w:val="6"/>
  </w:num>
  <w:num w:numId="5">
    <w:abstractNumId w:val="9"/>
  </w:num>
  <w:num w:numId="6">
    <w:abstractNumId w:val="2"/>
  </w:num>
  <w:num w:numId="7">
    <w:abstractNumId w:val="10"/>
  </w:num>
  <w:num w:numId="8">
    <w:abstractNumId w:val="3"/>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E65"/>
    <w:rsid w:val="0000580B"/>
    <w:rsid w:val="0000793B"/>
    <w:rsid w:val="00020082"/>
    <w:rsid w:val="00020EE6"/>
    <w:rsid w:val="000222B6"/>
    <w:rsid w:val="00024AF7"/>
    <w:rsid w:val="00056C36"/>
    <w:rsid w:val="0007528F"/>
    <w:rsid w:val="000856C9"/>
    <w:rsid w:val="00107356"/>
    <w:rsid w:val="0015733C"/>
    <w:rsid w:val="00174D94"/>
    <w:rsid w:val="001902BD"/>
    <w:rsid w:val="001903DF"/>
    <w:rsid w:val="001D38EC"/>
    <w:rsid w:val="001E27F1"/>
    <w:rsid w:val="00204175"/>
    <w:rsid w:val="00265C37"/>
    <w:rsid w:val="002A26D7"/>
    <w:rsid w:val="002C4D56"/>
    <w:rsid w:val="002D6CF5"/>
    <w:rsid w:val="002E03F8"/>
    <w:rsid w:val="002F7DF7"/>
    <w:rsid w:val="00303A25"/>
    <w:rsid w:val="003135E7"/>
    <w:rsid w:val="00342E77"/>
    <w:rsid w:val="00375445"/>
    <w:rsid w:val="003807C4"/>
    <w:rsid w:val="003B2E16"/>
    <w:rsid w:val="003B37F1"/>
    <w:rsid w:val="003B480B"/>
    <w:rsid w:val="003C53A8"/>
    <w:rsid w:val="003D76F9"/>
    <w:rsid w:val="003F3358"/>
    <w:rsid w:val="00427F7E"/>
    <w:rsid w:val="004441B8"/>
    <w:rsid w:val="004467CD"/>
    <w:rsid w:val="00453F9A"/>
    <w:rsid w:val="00467AEC"/>
    <w:rsid w:val="00487114"/>
    <w:rsid w:val="0049103A"/>
    <w:rsid w:val="00491483"/>
    <w:rsid w:val="00496790"/>
    <w:rsid w:val="00496AA6"/>
    <w:rsid w:val="004B00F3"/>
    <w:rsid w:val="004E3917"/>
    <w:rsid w:val="004E5348"/>
    <w:rsid w:val="00507312"/>
    <w:rsid w:val="00525724"/>
    <w:rsid w:val="00525DD7"/>
    <w:rsid w:val="00544AC1"/>
    <w:rsid w:val="00572809"/>
    <w:rsid w:val="00574C64"/>
    <w:rsid w:val="005846BA"/>
    <w:rsid w:val="005B2110"/>
    <w:rsid w:val="005F787B"/>
    <w:rsid w:val="006305B7"/>
    <w:rsid w:val="00636553"/>
    <w:rsid w:val="00650990"/>
    <w:rsid w:val="006529D3"/>
    <w:rsid w:val="00680A89"/>
    <w:rsid w:val="006A5435"/>
    <w:rsid w:val="006B183E"/>
    <w:rsid w:val="006C1247"/>
    <w:rsid w:val="006C6E65"/>
    <w:rsid w:val="006E18EB"/>
    <w:rsid w:val="006E5206"/>
    <w:rsid w:val="006F3274"/>
    <w:rsid w:val="00714A60"/>
    <w:rsid w:val="00775B90"/>
    <w:rsid w:val="007801C1"/>
    <w:rsid w:val="00791987"/>
    <w:rsid w:val="007C6ABE"/>
    <w:rsid w:val="007E43B3"/>
    <w:rsid w:val="007F52D8"/>
    <w:rsid w:val="007F7DAD"/>
    <w:rsid w:val="00824B8C"/>
    <w:rsid w:val="00833A28"/>
    <w:rsid w:val="00844EDC"/>
    <w:rsid w:val="008479E3"/>
    <w:rsid w:val="008615B6"/>
    <w:rsid w:val="008E20FD"/>
    <w:rsid w:val="008F7778"/>
    <w:rsid w:val="00912376"/>
    <w:rsid w:val="009144A2"/>
    <w:rsid w:val="00917901"/>
    <w:rsid w:val="009201ED"/>
    <w:rsid w:val="009424CF"/>
    <w:rsid w:val="0094299F"/>
    <w:rsid w:val="00952763"/>
    <w:rsid w:val="00962B75"/>
    <w:rsid w:val="00964533"/>
    <w:rsid w:val="00976D7F"/>
    <w:rsid w:val="00A03E97"/>
    <w:rsid w:val="00A13138"/>
    <w:rsid w:val="00A233DC"/>
    <w:rsid w:val="00A6364A"/>
    <w:rsid w:val="00A670AA"/>
    <w:rsid w:val="00A67FA2"/>
    <w:rsid w:val="00A753E4"/>
    <w:rsid w:val="00A85152"/>
    <w:rsid w:val="00AB369F"/>
    <w:rsid w:val="00AC09D1"/>
    <w:rsid w:val="00AD4013"/>
    <w:rsid w:val="00AF2B6A"/>
    <w:rsid w:val="00AF5694"/>
    <w:rsid w:val="00B91DCA"/>
    <w:rsid w:val="00B93D53"/>
    <w:rsid w:val="00B94B50"/>
    <w:rsid w:val="00B978A9"/>
    <w:rsid w:val="00BD03E6"/>
    <w:rsid w:val="00BE270A"/>
    <w:rsid w:val="00BE70B4"/>
    <w:rsid w:val="00C04241"/>
    <w:rsid w:val="00C2684C"/>
    <w:rsid w:val="00C46D1E"/>
    <w:rsid w:val="00C5382E"/>
    <w:rsid w:val="00C80516"/>
    <w:rsid w:val="00C82D1C"/>
    <w:rsid w:val="00CA072E"/>
    <w:rsid w:val="00CD0A8C"/>
    <w:rsid w:val="00D00713"/>
    <w:rsid w:val="00D20846"/>
    <w:rsid w:val="00D33423"/>
    <w:rsid w:val="00D5059A"/>
    <w:rsid w:val="00D71612"/>
    <w:rsid w:val="00D749AF"/>
    <w:rsid w:val="00D901F5"/>
    <w:rsid w:val="00D92B87"/>
    <w:rsid w:val="00DA23C4"/>
    <w:rsid w:val="00DA6A01"/>
    <w:rsid w:val="00DC695C"/>
    <w:rsid w:val="00DF4BCF"/>
    <w:rsid w:val="00E378CE"/>
    <w:rsid w:val="00E41095"/>
    <w:rsid w:val="00E714B6"/>
    <w:rsid w:val="00E7614F"/>
    <w:rsid w:val="00E807DB"/>
    <w:rsid w:val="00E81B01"/>
    <w:rsid w:val="00E85A18"/>
    <w:rsid w:val="00EA7F37"/>
    <w:rsid w:val="00EE5EA7"/>
    <w:rsid w:val="00EE5F47"/>
    <w:rsid w:val="00F305B0"/>
    <w:rsid w:val="00F37CAC"/>
    <w:rsid w:val="00F53231"/>
    <w:rsid w:val="00F5572F"/>
    <w:rsid w:val="00F56FB2"/>
    <w:rsid w:val="00F73310"/>
    <w:rsid w:val="00F82AB6"/>
    <w:rsid w:val="00FB525D"/>
    <w:rsid w:val="00FB79AC"/>
    <w:rsid w:val="00FE6CA6"/>
    <w:rsid w:val="00FF0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7C51A14"/>
  <w15:chartTrackingRefBased/>
  <w15:docId w15:val="{05A72AB9-D395-48E3-835B-DA497C662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E65"/>
    <w:pPr>
      <w:ind w:left="720"/>
      <w:contextualSpacing/>
    </w:pPr>
  </w:style>
  <w:style w:type="character" w:styleId="CommentReference">
    <w:name w:val="annotation reference"/>
    <w:basedOn w:val="DefaultParagraphFont"/>
    <w:uiPriority w:val="99"/>
    <w:semiHidden/>
    <w:unhideWhenUsed/>
    <w:rsid w:val="00F56FB2"/>
    <w:rPr>
      <w:sz w:val="16"/>
      <w:szCs w:val="16"/>
    </w:rPr>
  </w:style>
  <w:style w:type="paragraph" w:styleId="CommentText">
    <w:name w:val="annotation text"/>
    <w:basedOn w:val="Normal"/>
    <w:link w:val="CommentTextChar"/>
    <w:uiPriority w:val="99"/>
    <w:unhideWhenUsed/>
    <w:rsid w:val="00F56FB2"/>
    <w:pPr>
      <w:spacing w:line="240" w:lineRule="auto"/>
    </w:pPr>
    <w:rPr>
      <w:sz w:val="20"/>
      <w:szCs w:val="20"/>
    </w:rPr>
  </w:style>
  <w:style w:type="character" w:customStyle="1" w:styleId="CommentTextChar">
    <w:name w:val="Comment Text Char"/>
    <w:basedOn w:val="DefaultParagraphFont"/>
    <w:link w:val="CommentText"/>
    <w:uiPriority w:val="99"/>
    <w:rsid w:val="00F56FB2"/>
    <w:rPr>
      <w:sz w:val="20"/>
      <w:szCs w:val="20"/>
    </w:rPr>
  </w:style>
  <w:style w:type="paragraph" w:styleId="CommentSubject">
    <w:name w:val="annotation subject"/>
    <w:basedOn w:val="CommentText"/>
    <w:next w:val="CommentText"/>
    <w:link w:val="CommentSubjectChar"/>
    <w:uiPriority w:val="99"/>
    <w:semiHidden/>
    <w:unhideWhenUsed/>
    <w:rsid w:val="00F56FB2"/>
    <w:rPr>
      <w:b/>
      <w:bCs/>
    </w:rPr>
  </w:style>
  <w:style w:type="character" w:customStyle="1" w:styleId="CommentSubjectChar">
    <w:name w:val="Comment Subject Char"/>
    <w:basedOn w:val="CommentTextChar"/>
    <w:link w:val="CommentSubject"/>
    <w:uiPriority w:val="99"/>
    <w:semiHidden/>
    <w:rsid w:val="00F56FB2"/>
    <w:rPr>
      <w:b/>
      <w:bCs/>
      <w:sz w:val="20"/>
      <w:szCs w:val="20"/>
    </w:rPr>
  </w:style>
  <w:style w:type="paragraph" w:styleId="BalloonText">
    <w:name w:val="Balloon Text"/>
    <w:basedOn w:val="Normal"/>
    <w:link w:val="BalloonTextChar"/>
    <w:uiPriority w:val="99"/>
    <w:semiHidden/>
    <w:unhideWhenUsed/>
    <w:rsid w:val="00F56F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FB2"/>
    <w:rPr>
      <w:rFonts w:ascii="Segoe UI" w:hAnsi="Segoe UI" w:cs="Segoe UI"/>
      <w:sz w:val="18"/>
      <w:szCs w:val="18"/>
    </w:rPr>
  </w:style>
  <w:style w:type="paragraph" w:customStyle="1" w:styleId="Default">
    <w:name w:val="Default"/>
    <w:rsid w:val="00020082"/>
    <w:pPr>
      <w:autoSpaceDE w:val="0"/>
      <w:autoSpaceDN w:val="0"/>
      <w:adjustRightInd w:val="0"/>
      <w:spacing w:after="0" w:line="240" w:lineRule="auto"/>
    </w:pPr>
    <w:rPr>
      <w:rFonts w:ascii="Bookman Old Style" w:hAnsi="Bookman Old Style" w:cs="Bookman Old Style"/>
      <w:color w:val="000000"/>
      <w:sz w:val="24"/>
      <w:szCs w:val="24"/>
    </w:rPr>
  </w:style>
  <w:style w:type="paragraph" w:styleId="FootnoteText">
    <w:name w:val="footnote text"/>
    <w:basedOn w:val="Normal"/>
    <w:link w:val="FootnoteTextChar"/>
    <w:uiPriority w:val="99"/>
    <w:semiHidden/>
    <w:unhideWhenUsed/>
    <w:rsid w:val="00FF0B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0BA4"/>
    <w:rPr>
      <w:sz w:val="20"/>
      <w:szCs w:val="20"/>
    </w:rPr>
  </w:style>
  <w:style w:type="character" w:styleId="FootnoteReference">
    <w:name w:val="footnote reference"/>
    <w:basedOn w:val="DefaultParagraphFont"/>
    <w:uiPriority w:val="99"/>
    <w:semiHidden/>
    <w:unhideWhenUsed/>
    <w:rsid w:val="00FF0BA4"/>
    <w:rPr>
      <w:vertAlign w:val="superscript"/>
    </w:rPr>
  </w:style>
  <w:style w:type="paragraph" w:styleId="Header">
    <w:name w:val="header"/>
    <w:basedOn w:val="Normal"/>
    <w:link w:val="HeaderChar"/>
    <w:uiPriority w:val="99"/>
    <w:unhideWhenUsed/>
    <w:rsid w:val="00496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790"/>
  </w:style>
  <w:style w:type="paragraph" w:styleId="Footer">
    <w:name w:val="footer"/>
    <w:basedOn w:val="Normal"/>
    <w:link w:val="FooterChar"/>
    <w:uiPriority w:val="99"/>
    <w:unhideWhenUsed/>
    <w:rsid w:val="00496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790"/>
  </w:style>
  <w:style w:type="character" w:styleId="Hyperlink">
    <w:name w:val="Hyperlink"/>
    <w:basedOn w:val="DefaultParagraphFont"/>
    <w:uiPriority w:val="99"/>
    <w:semiHidden/>
    <w:unhideWhenUsed/>
    <w:rsid w:val="006529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926935">
      <w:bodyDiv w:val="1"/>
      <w:marLeft w:val="45"/>
      <w:marRight w:val="45"/>
      <w:marTop w:val="45"/>
      <w:marBottom w:val="45"/>
      <w:divBdr>
        <w:top w:val="none" w:sz="0" w:space="0" w:color="auto"/>
        <w:left w:val="none" w:sz="0" w:space="0" w:color="auto"/>
        <w:bottom w:val="none" w:sz="0" w:space="0" w:color="auto"/>
        <w:right w:val="none" w:sz="0" w:space="0" w:color="auto"/>
      </w:divBdr>
      <w:divsChild>
        <w:div w:id="39813421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b13dd97-7bb8-4fef-b994-c93242b87804">A22TNDR37WPX-287-4311</_dlc_DocId>
    <_dlc_DocIdUrl xmlns="2b13dd97-7bb8-4fef-b994-c93242b87804">
      <Url>https://esp.cdc.gov/sites/nccdphp/DIV/DCPC/CSB/ASIST/_layouts/15/DocIdRedir.aspx?ID=A22TNDR37WPX-287-4311</Url>
      <Description>A22TNDR37WPX-287-4311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7B76508060EE04CBE4E7216A1068DE5" ma:contentTypeVersion="1" ma:contentTypeDescription="Create a new document." ma:contentTypeScope="" ma:versionID="3c874b92eb171a8478ef7b93321759d9">
  <xsd:schema xmlns:xsd="http://www.w3.org/2001/XMLSchema" xmlns:xs="http://www.w3.org/2001/XMLSchema" xmlns:p="http://schemas.microsoft.com/office/2006/metadata/properties" xmlns:ns2="2b13dd97-7bb8-4fef-b994-c93242b87804" targetNamespace="http://schemas.microsoft.com/office/2006/metadata/properties" ma:root="true" ma:fieldsID="a11ac2ff0284ec3ab40c0e8ecf9e88ac" ns2:_="">
    <xsd:import namespace="2b13dd97-7bb8-4fef-b994-c93242b8780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3dd97-7bb8-4fef-b994-c93242b878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307F1-E34F-4155-99FE-8B88FAC99A5C}"/>
</file>

<file path=customXml/itemProps2.xml><?xml version="1.0" encoding="utf-8"?>
<ds:datastoreItem xmlns:ds="http://schemas.openxmlformats.org/officeDocument/2006/customXml" ds:itemID="{96A6F4A1-CBE0-427D-9A20-6A1242A33FC0}"/>
</file>

<file path=customXml/itemProps3.xml><?xml version="1.0" encoding="utf-8"?>
<ds:datastoreItem xmlns:ds="http://schemas.openxmlformats.org/officeDocument/2006/customXml" ds:itemID="{C64CBB4C-6EFB-470F-BE21-4D10BC808C6C}"/>
</file>

<file path=customXml/itemProps4.xml><?xml version="1.0" encoding="utf-8"?>
<ds:datastoreItem xmlns:ds="http://schemas.openxmlformats.org/officeDocument/2006/customXml" ds:itemID="{74C2A323-C254-4719-A3FE-65C9A44526C3}"/>
</file>

<file path=customXml/itemProps5.xml><?xml version="1.0" encoding="utf-8"?>
<ds:datastoreItem xmlns:ds="http://schemas.openxmlformats.org/officeDocument/2006/customXml" ds:itemID="{E93271AF-F25F-48F3-8DBE-2FB491C973D2}"/>
</file>

<file path=docProps/app.xml><?xml version="1.0" encoding="utf-8"?>
<Properties xmlns="http://schemas.openxmlformats.org/officeDocument/2006/extended-properties" xmlns:vt="http://schemas.openxmlformats.org/officeDocument/2006/docPropsVTypes">
  <Template>Normal.dotm</Template>
  <TotalTime>289</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Scharber</dc:creator>
  <cp:keywords/>
  <dc:description/>
  <cp:lastModifiedBy>Blumenthal, Wendy J. (CDC/ONDIEH/NCCDPHP)</cp:lastModifiedBy>
  <cp:revision>38</cp:revision>
  <dcterms:created xsi:type="dcterms:W3CDTF">2015-12-01T19:02:00Z</dcterms:created>
  <dcterms:modified xsi:type="dcterms:W3CDTF">2016-02-10T20:49:00Z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ca9732ab-6cfd-4ede-8b8c-8fc75ae1f941</vt:lpwstr>
  </property>
  <property fmtid="{D5CDD505-2E9C-101B-9397-08002B2CF9AE}" pid="3" name="ContentTypeId">
    <vt:lpwstr>0x01010087B76508060EE04CBE4E7216A1068DE5</vt:lpwstr>
  </property>
</Properties>
</file>